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0C247A60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#100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E83763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E83763">
        <w:rPr>
          <w:rFonts w:ascii="Arial" w:hAnsi="Arial" w:cs="Arial"/>
          <w:b/>
          <w:sz w:val="24"/>
          <w:szCs w:val="24"/>
          <w:lang w:val="en-US" w:eastAsia="ja-JP"/>
        </w:rPr>
        <w:t>14</w:t>
      </w:r>
      <w:r w:rsidR="007A35BA">
        <w:rPr>
          <w:rFonts w:ascii="Arial" w:hAnsi="Arial" w:cs="Arial"/>
          <w:b/>
          <w:sz w:val="24"/>
          <w:szCs w:val="24"/>
          <w:lang w:val="en-US" w:eastAsia="ja-JP"/>
        </w:rPr>
        <w:t>7</w:t>
      </w:r>
      <w:r w:rsidR="00E83763">
        <w:rPr>
          <w:rFonts w:ascii="Arial" w:hAnsi="Arial" w:cs="Arial"/>
          <w:b/>
          <w:sz w:val="24"/>
          <w:szCs w:val="24"/>
          <w:lang w:val="en-US" w:eastAsia="ja-JP"/>
        </w:rPr>
        <w:t>9</w:t>
      </w:r>
    </w:p>
    <w:p w14:paraId="0BFA3C8D" w14:textId="513AB9E1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 w:eastAsia="ja-JP"/>
        </w:rPr>
        <w:t>Taipei, Taiwan, June 12-14, 2023</w:t>
      </w:r>
      <w:r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Pr="00E83763">
        <w:rPr>
          <w:rFonts w:ascii="Arial" w:hAnsi="Arial" w:cs="Arial"/>
          <w:b/>
          <w:sz w:val="18"/>
          <w:szCs w:val="18"/>
          <w:lang w:val="en-US"/>
        </w:rPr>
        <w:t>RP-</w:t>
      </w:r>
      <w:r w:rsidR="00E83763" w:rsidRPr="00E83763">
        <w:rPr>
          <w:rFonts w:ascii="Arial" w:hAnsi="Arial" w:cs="Arial"/>
          <w:b/>
          <w:sz w:val="18"/>
          <w:szCs w:val="18"/>
          <w:lang w:val="en-US"/>
        </w:rPr>
        <w:t>23</w:t>
      </w:r>
      <w:r w:rsidR="00E83763">
        <w:rPr>
          <w:rFonts w:ascii="Arial" w:hAnsi="Arial" w:cs="Arial"/>
          <w:b/>
          <w:sz w:val="18"/>
          <w:szCs w:val="18"/>
          <w:lang w:val="en-US"/>
        </w:rPr>
        <w:t>1</w:t>
      </w:r>
      <w:r w:rsidR="007A35BA">
        <w:rPr>
          <w:rFonts w:ascii="Arial" w:hAnsi="Arial" w:cs="Arial"/>
          <w:b/>
          <w:sz w:val="18"/>
          <w:szCs w:val="18"/>
          <w:lang w:val="en-US"/>
        </w:rPr>
        <w:t>459</w:t>
      </w:r>
      <w:r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  <w:lang w:val="en-US"/>
          </w:rPr>
          <w:t>http://www.3gpp.org/Work-Items</w:t>
        </w:r>
      </w:hyperlink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hyperlink r:id="rId13" w:history="1">
        <w:r w:rsidRPr="00E83763">
          <w:rPr>
            <w:rStyle w:val="Hyperlink"/>
            <w:lang w:val="en-US"/>
          </w:rPr>
          <w:t>3GPP Working Procedures</w:t>
        </w:r>
      </w:hyperlink>
      <w:r w:rsidRPr="00E83763">
        <w:rPr>
          <w:lang w:val="en-US"/>
        </w:rPr>
        <w:t xml:space="preserve">, article 39 and the TSG Working Methods in </w:t>
      </w:r>
      <w:hyperlink r:id="rId14" w:history="1">
        <w:r w:rsidRPr="00E83763">
          <w:rPr>
            <w:rStyle w:val="Hyperlink"/>
            <w:lang w:val="en-US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B22F93">
        <w:rPr>
          <w:sz w:val="32"/>
          <w:szCs w:val="32"/>
        </w:rPr>
        <w:t>IOT_NTN_LSBand</w:t>
      </w:r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C63368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Normally, Core/Perf./Testing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C63368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C63368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Therefore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C63368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>specifications for NB-IoT and eMTC operation over NTN in a release dependence manner [1]. The WI specifies two new FDD bands NB-IoT/eMTC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NB-IoT/eMTC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NB-IoT/eMTC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127"/>
        <w:gridCol w:w="2383"/>
        <w:gridCol w:w="987"/>
        <w:gridCol w:w="1068"/>
        <w:gridCol w:w="2260"/>
      </w:tblGrid>
      <w:tr w:rsidR="00E65855" w:rsidRPr="00C63368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56FA7781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36.xxx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55E" w14:textId="6ABF0F24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Core part;</w:t>
            </w:r>
          </w:p>
          <w:p w14:paraId="58C6C7D1" w14:textId="73BA3457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 Cao, MediaTek,</w:t>
            </w:r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Aijun.cao@mediatek.com</w:t>
            </w:r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C63368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  <w:rPr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on User Equipments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>If an existing spec is affected by both (Core part and Perf. part), then it has to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C63368" w:rsidRDefault="00450A13" w:rsidP="00E65855">
      <w:pPr>
        <w:ind w:right="-99"/>
        <w:rPr>
          <w:i/>
          <w:lang w:val="en-US"/>
        </w:rPr>
      </w:pPr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Aijun CAO, MediaTek Inc. aijun.cao@mediatek.com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toWGs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have to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0" w:name="OLE_LINK12"/>
      <w:bookmarkStart w:id="1" w:name="_Ref101774927"/>
    </w:p>
    <w:p w14:paraId="1F634CC4" w14:textId="77777777" w:rsidR="008E333E" w:rsidRPr="008E333E" w:rsidRDefault="008E333E" w:rsidP="008E333E"/>
    <w:bookmarkEnd w:id="0"/>
    <w:bookmarkEnd w:id="1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51EF3" w14:textId="77777777" w:rsidR="00C82888" w:rsidRDefault="00C82888">
      <w:pPr>
        <w:spacing w:after="0"/>
      </w:pPr>
      <w:r>
        <w:separator/>
      </w:r>
    </w:p>
  </w:endnote>
  <w:endnote w:type="continuationSeparator" w:id="0">
    <w:p w14:paraId="092F98C8" w14:textId="77777777" w:rsidR="00C82888" w:rsidRDefault="00C82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17F7A" w14:textId="77777777" w:rsidR="00C82888" w:rsidRDefault="00C82888">
      <w:pPr>
        <w:spacing w:after="0"/>
      </w:pPr>
      <w:r>
        <w:separator/>
      </w:r>
    </w:p>
  </w:footnote>
  <w:footnote w:type="continuationSeparator" w:id="0">
    <w:p w14:paraId="2CA8AF66" w14:textId="77777777" w:rsidR="00C82888" w:rsidRDefault="00C828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4"/>
  </w:num>
  <w:num w:numId="13">
    <w:abstractNumId w:val="7"/>
  </w:num>
  <w:num w:numId="14">
    <w:abstractNumId w:val="8"/>
  </w:num>
  <w:num w:numId="15">
    <w:abstractNumId w:val="23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6"/>
  </w:num>
  <w:num w:numId="29">
    <w:abstractNumId w:val="15"/>
  </w:num>
  <w:num w:numId="30">
    <w:abstractNumId w:val="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68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88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477DF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5B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35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35B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1323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2023-06-13T08:16:00Z</dcterms:created>
  <dcterms:modified xsi:type="dcterms:W3CDTF">2023-06-13T08:16:00Z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